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752" w:rsidRPr="00010B38" w:rsidRDefault="007E2752" w:rsidP="007E2752">
      <w:pPr>
        <w:spacing w:after="0" w:line="48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7E2752" w:rsidRPr="00010B38" w:rsidRDefault="007E2752" w:rsidP="007E2752">
      <w:pPr>
        <w:spacing w:after="0" w:line="48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7E2752" w:rsidRPr="00010B38" w:rsidRDefault="007E2752" w:rsidP="007E2752">
      <w:pPr>
        <w:spacing w:after="0" w:line="48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7E2752" w:rsidRPr="00010B38" w:rsidRDefault="007E2752" w:rsidP="007E2752">
      <w:pPr>
        <w:spacing w:after="0" w:line="48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7E2752" w:rsidRPr="00010B38" w:rsidRDefault="007E2752" w:rsidP="007E2752">
      <w:pPr>
        <w:spacing w:after="0" w:line="48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7E2752" w:rsidRPr="00010B38" w:rsidRDefault="007E2752" w:rsidP="007E2752">
      <w:pPr>
        <w:spacing w:after="0" w:line="48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7E2752" w:rsidRPr="00010B38" w:rsidRDefault="00010B38" w:rsidP="007E2752">
      <w:pPr>
        <w:spacing w:after="0" w:line="48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010B3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Intentionally Left Blank</w:t>
      </w:r>
    </w:p>
    <w:p w:rsidR="00010B38" w:rsidRPr="00010B38" w:rsidRDefault="00010B38" w:rsidP="007E2752">
      <w:pPr>
        <w:spacing w:after="0" w:line="48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010B3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Student’s Name</w:t>
      </w:r>
    </w:p>
    <w:p w:rsidR="00010B38" w:rsidRPr="00010B38" w:rsidRDefault="00010B38" w:rsidP="007E2752">
      <w:pPr>
        <w:spacing w:after="0" w:line="48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010B3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Institution </w:t>
      </w:r>
    </w:p>
    <w:p w:rsidR="003E6B01" w:rsidRPr="00010B38" w:rsidRDefault="003E6B01">
      <w:pPr>
        <w:rPr>
          <w:rFonts w:ascii="Times New Roman" w:hAnsi="Times New Roman" w:cs="Times New Roman"/>
          <w:sz w:val="24"/>
          <w:szCs w:val="24"/>
        </w:rPr>
      </w:pPr>
    </w:p>
    <w:p w:rsidR="00C077D0" w:rsidRPr="00010B38" w:rsidRDefault="00C077D0" w:rsidP="007E2752">
      <w:pPr>
        <w:rPr>
          <w:rFonts w:ascii="Times New Roman" w:hAnsi="Times New Roman" w:cs="Times New Roman"/>
          <w:sz w:val="24"/>
          <w:szCs w:val="24"/>
        </w:rPr>
      </w:pPr>
    </w:p>
    <w:p w:rsidR="00010B38" w:rsidRDefault="00010B3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C26A5" w:rsidRPr="00010B38" w:rsidRDefault="00010B38" w:rsidP="005C26A5">
      <w:pPr>
        <w:jc w:val="center"/>
        <w:rPr>
          <w:rFonts w:ascii="Times New Roman" w:hAnsi="Times New Roman" w:cs="Times New Roman"/>
          <w:sz w:val="24"/>
          <w:szCs w:val="24"/>
        </w:rPr>
      </w:pPr>
      <w:r w:rsidRPr="00010B38">
        <w:rPr>
          <w:rFonts w:ascii="Times New Roman" w:hAnsi="Times New Roman" w:cs="Times New Roman"/>
          <w:sz w:val="24"/>
          <w:szCs w:val="24"/>
        </w:rPr>
        <w:lastRenderedPageBreak/>
        <w:t>Nola Outpatient Health Financial Projections</w:t>
      </w:r>
    </w:p>
    <w:p w:rsidR="005C26A5" w:rsidRPr="00010B38" w:rsidRDefault="00421D9C" w:rsidP="005C26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10B38">
        <w:rPr>
          <w:rFonts w:ascii="Times New Roman" w:hAnsi="Times New Roman" w:cs="Times New Roman"/>
          <w:sz w:val="24"/>
          <w:szCs w:val="24"/>
        </w:rPr>
        <w:t>This paper</w:t>
      </w:r>
      <w:r w:rsidR="00AC6DE8" w:rsidRPr="00010B38">
        <w:rPr>
          <w:rFonts w:ascii="Times New Roman" w:hAnsi="Times New Roman" w:cs="Times New Roman"/>
          <w:sz w:val="24"/>
          <w:szCs w:val="24"/>
        </w:rPr>
        <w:t xml:space="preserve"> shows projections for </w:t>
      </w:r>
      <w:r w:rsidR="007E2752" w:rsidRPr="00010B38">
        <w:rPr>
          <w:rFonts w:ascii="Times New Roman" w:hAnsi="Times New Roman" w:cs="Times New Roman"/>
          <w:sz w:val="24"/>
          <w:szCs w:val="24"/>
        </w:rPr>
        <w:t>Nola Outpatient Health i</w:t>
      </w:r>
      <w:r w:rsidR="00AC6DE8" w:rsidRPr="00010B38">
        <w:rPr>
          <w:rFonts w:ascii="Times New Roman" w:hAnsi="Times New Roman" w:cs="Times New Roman"/>
          <w:sz w:val="24"/>
          <w:szCs w:val="24"/>
        </w:rPr>
        <w:t>n the form of</w:t>
      </w:r>
      <w:r w:rsidR="00C077D0" w:rsidRPr="00010B38">
        <w:rPr>
          <w:rFonts w:ascii="Times New Roman" w:hAnsi="Times New Roman" w:cs="Times New Roman"/>
          <w:sz w:val="24"/>
          <w:szCs w:val="24"/>
        </w:rPr>
        <w:t xml:space="preserve"> income statements for anticipated revenues over the next three years. </w:t>
      </w:r>
      <w:r w:rsidR="005C26A5" w:rsidRPr="00010B38">
        <w:rPr>
          <w:rFonts w:ascii="Times New Roman" w:hAnsi="Times New Roman" w:cs="Times New Roman"/>
          <w:sz w:val="24"/>
          <w:szCs w:val="24"/>
        </w:rPr>
        <w:t>The financial statement will project profit and loss </w:t>
      </w:r>
      <w:r w:rsidR="005C26A5" w:rsidRPr="00010B38">
        <w:rPr>
          <w:rFonts w:ascii="Times New Roman" w:hAnsi="Times New Roman" w:cs="Times New Roman"/>
          <w:bCs/>
          <w:sz w:val="24"/>
          <w:szCs w:val="24"/>
        </w:rPr>
        <w:t>margins</w:t>
      </w:r>
      <w:r w:rsidR="005C26A5" w:rsidRPr="00010B38">
        <w:rPr>
          <w:rFonts w:ascii="Times New Roman" w:hAnsi="Times New Roman" w:cs="Times New Roman"/>
          <w:sz w:val="24"/>
          <w:szCs w:val="24"/>
        </w:rPr>
        <w:t xml:space="preserve"> and </w:t>
      </w:r>
      <w:r w:rsidR="005C26A5" w:rsidRPr="00010B38">
        <w:rPr>
          <w:rFonts w:ascii="Times New Roman" w:hAnsi="Times New Roman" w:cs="Times New Roman"/>
          <w:bCs/>
          <w:sz w:val="24"/>
          <w:szCs w:val="24"/>
        </w:rPr>
        <w:t xml:space="preserve">statements </w:t>
      </w:r>
      <w:r w:rsidR="005C26A5" w:rsidRPr="00010B38">
        <w:rPr>
          <w:rFonts w:ascii="Times New Roman" w:hAnsi="Times New Roman" w:cs="Times New Roman"/>
          <w:sz w:val="24"/>
          <w:szCs w:val="24"/>
        </w:rPr>
        <w:t xml:space="preserve">of anticipated revenue and expenses over the next three financial years. </w:t>
      </w:r>
    </w:p>
    <w:p w:rsidR="005C26A5" w:rsidRPr="00010B38" w:rsidRDefault="005C26A5" w:rsidP="005C26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10B38">
        <w:rPr>
          <w:rFonts w:ascii="Times New Roman" w:hAnsi="Times New Roman" w:cs="Times New Roman"/>
          <w:sz w:val="24"/>
          <w:szCs w:val="24"/>
        </w:rPr>
        <w:t>Page 3 contains a pictograph of Nola Outpatient Health’s projected income statements over the course of the next 3 years.</w:t>
      </w:r>
      <w:r w:rsidR="00421D9C" w:rsidRPr="00010B38">
        <w:rPr>
          <w:rFonts w:ascii="Times New Roman" w:hAnsi="Times New Roman" w:cs="Times New Roman"/>
          <w:sz w:val="24"/>
          <w:szCs w:val="24"/>
        </w:rPr>
        <w:t xml:space="preserve"> The last page contains an appendix that explains the statements as well as how they were constructed.</w:t>
      </w:r>
    </w:p>
    <w:p w:rsidR="00C077D0" w:rsidRPr="00010B38" w:rsidRDefault="00C077D0" w:rsidP="00C077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10B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7D0" w:rsidRPr="00010B38" w:rsidRDefault="00C077D0" w:rsidP="00C077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7D0" w:rsidRPr="00010B38" w:rsidRDefault="00C077D0" w:rsidP="00C077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7D0" w:rsidRPr="00010B38" w:rsidRDefault="00C077D0" w:rsidP="00C077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7D0" w:rsidRPr="00010B38" w:rsidRDefault="00C077D0" w:rsidP="00C077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7D0" w:rsidRPr="00010B38" w:rsidRDefault="00C077D0" w:rsidP="00C077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7D0" w:rsidRPr="00010B38" w:rsidRDefault="00C077D0" w:rsidP="00C077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7D0" w:rsidRPr="00010B38" w:rsidRDefault="00C077D0" w:rsidP="00C077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77D0" w:rsidRPr="00010B38" w:rsidRDefault="00C077D0" w:rsidP="00C077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7D0" w:rsidRPr="00010B38" w:rsidRDefault="00C077D0" w:rsidP="00C077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7D0" w:rsidRPr="00010B38" w:rsidRDefault="00C077D0" w:rsidP="00421D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77D0" w:rsidRPr="00010B38" w:rsidRDefault="00421D9C" w:rsidP="00C077D0">
      <w:pPr>
        <w:rPr>
          <w:rFonts w:ascii="Times New Roman" w:hAnsi="Times New Roman" w:cs="Times New Roman"/>
          <w:b/>
          <w:sz w:val="24"/>
          <w:szCs w:val="24"/>
        </w:rPr>
      </w:pPr>
      <w:r w:rsidRPr="00010B38">
        <w:rPr>
          <w:rFonts w:ascii="Times New Roman" w:hAnsi="Times New Roman" w:cs="Times New Roman"/>
          <w:b/>
          <w:sz w:val="24"/>
          <w:szCs w:val="24"/>
        </w:rPr>
        <w:lastRenderedPageBreak/>
        <w:t>Financial Statements</w:t>
      </w:r>
    </w:p>
    <w:tbl>
      <w:tblPr>
        <w:tblStyle w:val="TableGrid"/>
        <w:tblpPr w:leftFromText="180" w:rightFromText="180" w:vertAnchor="page" w:horzAnchor="margin" w:tblpXSpec="center" w:tblpY="2086"/>
        <w:tblW w:w="8296" w:type="dxa"/>
        <w:tblLook w:val="04A0" w:firstRow="1" w:lastRow="0" w:firstColumn="1" w:lastColumn="0" w:noHBand="0" w:noVBand="1"/>
      </w:tblPr>
      <w:tblGrid>
        <w:gridCol w:w="4168"/>
        <w:gridCol w:w="1376"/>
        <w:gridCol w:w="1376"/>
        <w:gridCol w:w="1376"/>
      </w:tblGrid>
      <w:tr w:rsidR="003A7D2E" w:rsidRPr="00010B38" w:rsidTr="00471E72">
        <w:trPr>
          <w:trHeight w:val="520"/>
        </w:trPr>
        <w:tc>
          <w:tcPr>
            <w:tcW w:w="0" w:type="auto"/>
            <w:hideMark/>
          </w:tcPr>
          <w:p w:rsidR="00C077D0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87D82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787D82"/>
                <w:sz w:val="24"/>
                <w:szCs w:val="24"/>
              </w:rPr>
              <w:t>12/31/2022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87D82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787D82"/>
                <w:sz w:val="24"/>
                <w:szCs w:val="24"/>
              </w:rPr>
              <w:t>12/31/2021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87D82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787D82"/>
                <w:sz w:val="24"/>
                <w:szCs w:val="24"/>
              </w:rPr>
              <w:t>12/31/2020</w:t>
            </w:r>
          </w:p>
        </w:tc>
      </w:tr>
      <w:tr w:rsidR="003A7D2E" w:rsidRPr="00010B38" w:rsidTr="00471E72">
        <w:trPr>
          <w:trHeight w:val="505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Revenue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10,772,278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10,409,865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9,766,210</w:t>
            </w:r>
          </w:p>
        </w:tc>
      </w:tr>
      <w:tr w:rsidR="003A7D2E" w:rsidRPr="00010B38" w:rsidTr="00471E72">
        <w:trPr>
          <w:trHeight w:val="505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Cost of Revenue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6,423,190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6,085,733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5,616,867</w:t>
            </w:r>
          </w:p>
        </w:tc>
      </w:tr>
      <w:tr w:rsidR="003A7D2E" w:rsidRPr="00010B38" w:rsidTr="00471E72">
        <w:trPr>
          <w:trHeight w:val="520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Gross Profit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4,349,088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4,324,132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4,149,343</w:t>
            </w:r>
          </w:p>
        </w:tc>
      </w:tr>
      <w:tr w:rsidR="003A7D2E" w:rsidRPr="00010B38" w:rsidTr="00471E72">
        <w:trPr>
          <w:gridAfter w:val="3"/>
          <w:trHeight w:val="520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Operating Expenses</w:t>
            </w:r>
          </w:p>
        </w:tc>
      </w:tr>
      <w:tr w:rsidR="003A7D2E" w:rsidRPr="00010B38" w:rsidTr="00471E72">
        <w:trPr>
          <w:trHeight w:val="505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Selling / General Administrative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106,094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103,127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97,324</w:t>
            </w:r>
          </w:p>
        </w:tc>
      </w:tr>
      <w:tr w:rsidR="003A7D2E" w:rsidRPr="00010B38" w:rsidTr="00471E72">
        <w:trPr>
          <w:trHeight w:val="505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 Recurring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A7D2E" w:rsidRPr="00010B38" w:rsidTr="00471E72">
        <w:trPr>
          <w:trHeight w:val="505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Others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2,561,377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2,493,062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2,354,000</w:t>
            </w:r>
          </w:p>
        </w:tc>
      </w:tr>
      <w:tr w:rsidR="003A7D2E" w:rsidRPr="00010B38" w:rsidTr="00471E72">
        <w:trPr>
          <w:trHeight w:val="505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Operating Expenses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9,543,706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9,129,687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8,484,799</w:t>
            </w:r>
          </w:p>
        </w:tc>
      </w:tr>
      <w:tr w:rsidR="003A7D2E" w:rsidRPr="00010B38" w:rsidTr="00471E72">
        <w:trPr>
          <w:trHeight w:val="520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Operating Income or Loss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1,228,572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1,280,178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1,281,411</w:t>
            </w:r>
          </w:p>
        </w:tc>
      </w:tr>
      <w:tr w:rsidR="003A7D2E" w:rsidRPr="00010B38" w:rsidTr="00471E72">
        <w:trPr>
          <w:gridAfter w:val="3"/>
          <w:trHeight w:val="520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Income from Continuing Operations</w:t>
            </w:r>
          </w:p>
        </w:tc>
      </w:tr>
      <w:tr w:rsidR="003A7D2E" w:rsidRPr="00010B38" w:rsidTr="00471E72">
        <w:trPr>
          <w:trHeight w:val="505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Other Income/Expenses Net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-194,047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-145,169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-125,053</w:t>
            </w:r>
          </w:p>
        </w:tc>
      </w:tr>
      <w:tr w:rsidR="003A7D2E" w:rsidRPr="00010B38" w:rsidTr="00471E72">
        <w:trPr>
          <w:trHeight w:val="505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Earnings Before Interest and Taxes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1,228,572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1,280,178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1,281,411</w:t>
            </w:r>
          </w:p>
        </w:tc>
      </w:tr>
      <w:tr w:rsidR="003A7D2E" w:rsidRPr="00010B38" w:rsidTr="00471E72">
        <w:trPr>
          <w:trHeight w:val="505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Interest Expense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-156,487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-145,250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-125,203</w:t>
            </w:r>
          </w:p>
        </w:tc>
      </w:tr>
      <w:tr w:rsidR="003A7D2E" w:rsidRPr="00010B38" w:rsidTr="00471E72">
        <w:trPr>
          <w:trHeight w:val="505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Income Before Tax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1,034,525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1,135,009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1,156,358</w:t>
            </w:r>
          </w:p>
        </w:tc>
      </w:tr>
      <w:tr w:rsidR="003A7D2E" w:rsidRPr="00010B38" w:rsidTr="00471E72">
        <w:trPr>
          <w:trHeight w:val="505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Income Tax Expense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236,642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363,697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409,187</w:t>
            </w:r>
          </w:p>
        </w:tc>
      </w:tr>
      <w:tr w:rsidR="003A7D2E" w:rsidRPr="00010B38" w:rsidTr="00471E72">
        <w:trPr>
          <w:trHeight w:val="520"/>
        </w:trPr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Net Income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779,705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752,303</w:t>
            </w:r>
          </w:p>
        </w:tc>
        <w:tc>
          <w:tcPr>
            <w:tcW w:w="0" w:type="auto"/>
            <w:hideMark/>
          </w:tcPr>
          <w:p w:rsidR="003A7D2E" w:rsidRPr="00010B38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702,409</w:t>
            </w:r>
          </w:p>
        </w:tc>
      </w:tr>
    </w:tbl>
    <w:p w:rsidR="003A7D2E" w:rsidRPr="00010B38" w:rsidRDefault="003A7D2E" w:rsidP="00C077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7D2E" w:rsidRPr="00010B38" w:rsidRDefault="003A7D2E" w:rsidP="007E27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A7D2E" w:rsidRPr="00010B38" w:rsidRDefault="003A7D2E" w:rsidP="007E27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5771C" w:rsidRPr="00010B38" w:rsidRDefault="0085771C" w:rsidP="007E27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5771C" w:rsidRPr="00010B38" w:rsidRDefault="0085771C" w:rsidP="007E27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21D9C" w:rsidRPr="00010B38" w:rsidRDefault="00421D9C" w:rsidP="007E275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10B38">
        <w:rPr>
          <w:rFonts w:ascii="Times New Roman" w:hAnsi="Times New Roman" w:cs="Times New Roman"/>
          <w:b/>
          <w:sz w:val="24"/>
          <w:szCs w:val="24"/>
        </w:rPr>
        <w:lastRenderedPageBreak/>
        <w:t>Appendix</w:t>
      </w:r>
    </w:p>
    <w:p w:rsidR="00421D9C" w:rsidRPr="00010B38" w:rsidRDefault="00421D9C" w:rsidP="00B97D3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10B38">
        <w:rPr>
          <w:rFonts w:ascii="Times New Roman" w:hAnsi="Times New Roman" w:cs="Times New Roman"/>
          <w:sz w:val="24"/>
          <w:szCs w:val="24"/>
        </w:rPr>
        <w:t>3-Year projections of Nola</w:t>
      </w:r>
      <w:r w:rsidR="00B97D39" w:rsidRPr="00010B38">
        <w:rPr>
          <w:rFonts w:ascii="Times New Roman" w:hAnsi="Times New Roman" w:cs="Times New Roman"/>
          <w:sz w:val="24"/>
          <w:szCs w:val="24"/>
        </w:rPr>
        <w:t xml:space="preserve"> Outpatient Health</w:t>
      </w:r>
    </w:p>
    <w:p w:rsidR="00407748" w:rsidRPr="00010B38" w:rsidRDefault="009321AF" w:rsidP="00407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0B38">
        <w:rPr>
          <w:rFonts w:ascii="Times New Roman" w:hAnsi="Times New Roman" w:cs="Times New Roman"/>
          <w:sz w:val="24"/>
          <w:szCs w:val="24"/>
        </w:rPr>
        <w:t xml:space="preserve">The </w:t>
      </w:r>
      <w:r w:rsidR="00407748" w:rsidRPr="00010B38">
        <w:rPr>
          <w:rFonts w:ascii="Times New Roman" w:hAnsi="Times New Roman" w:cs="Times New Roman"/>
          <w:sz w:val="24"/>
          <w:szCs w:val="24"/>
        </w:rPr>
        <w:t>revenues have been projected at a growth rate of</w:t>
      </w:r>
      <w:r w:rsidRPr="00010B38">
        <w:rPr>
          <w:rFonts w:ascii="Times New Roman" w:hAnsi="Times New Roman" w:cs="Times New Roman"/>
          <w:sz w:val="24"/>
          <w:szCs w:val="24"/>
        </w:rPr>
        <w:t xml:space="preserve"> 6.6% and 3.5%, year-on-year, in the second and third years of the forecast period respectively. The costs of revenue have been projected at 59% of </w:t>
      </w:r>
      <w:r w:rsidR="00407748" w:rsidRPr="00010B38">
        <w:rPr>
          <w:rFonts w:ascii="Times New Roman" w:hAnsi="Times New Roman" w:cs="Times New Roman"/>
          <w:sz w:val="24"/>
          <w:szCs w:val="24"/>
        </w:rPr>
        <w:t>gross revenues for the three years. The total operating expenditure is projected at a growth rate of 7.6% and 4.6% in the second and third years of the forecast period respectively.</w:t>
      </w:r>
    </w:p>
    <w:p w:rsidR="00407748" w:rsidRPr="00010B38" w:rsidRDefault="00407748" w:rsidP="00407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0B38">
        <w:rPr>
          <w:rFonts w:ascii="Times New Roman" w:hAnsi="Times New Roman" w:cs="Times New Roman"/>
          <w:sz w:val="24"/>
          <w:szCs w:val="24"/>
        </w:rPr>
        <w:tab/>
        <w:t>The gross margins are 42.5%, 41.5% and 40.4% for the first, second and third year respectively. Operating income margins also show a declining trend over the forecast period at 13.1%, 12.3% and 11.4% for the first second and third year, respectively. Finally, the net margins are constant over the forecast period at 7.2%.</w:t>
      </w:r>
    </w:p>
    <w:p w:rsidR="00010B38" w:rsidRPr="00010B38" w:rsidRDefault="00010B38" w:rsidP="00010B3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10B38">
        <w:rPr>
          <w:rFonts w:ascii="Times New Roman" w:hAnsi="Times New Roman" w:cs="Times New Roman"/>
          <w:b/>
          <w:sz w:val="24"/>
          <w:szCs w:val="24"/>
        </w:rPr>
        <w:t>Financial Statements</w:t>
      </w:r>
    </w:p>
    <w:tbl>
      <w:tblPr>
        <w:tblStyle w:val="TableGrid"/>
        <w:tblpPr w:leftFromText="180" w:rightFromText="180" w:vertAnchor="page" w:horzAnchor="margin" w:tblpXSpec="center" w:tblpY="2086"/>
        <w:tblW w:w="8296" w:type="dxa"/>
        <w:tblLook w:val="04A0" w:firstRow="1" w:lastRow="0" w:firstColumn="1" w:lastColumn="0" w:noHBand="0" w:noVBand="1"/>
      </w:tblPr>
      <w:tblGrid>
        <w:gridCol w:w="4168"/>
        <w:gridCol w:w="1376"/>
        <w:gridCol w:w="1376"/>
        <w:gridCol w:w="1376"/>
      </w:tblGrid>
      <w:tr w:rsidR="00010B38" w:rsidRPr="00010B38" w:rsidTr="00C57D9D">
        <w:trPr>
          <w:trHeight w:val="520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softHyphen/>
            </w: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87D82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787D82"/>
                <w:sz w:val="24"/>
                <w:szCs w:val="24"/>
              </w:rPr>
              <w:t>12/31/2022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87D82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787D82"/>
                <w:sz w:val="24"/>
                <w:szCs w:val="24"/>
              </w:rPr>
              <w:t>12/31/2021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87D82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787D82"/>
                <w:sz w:val="24"/>
                <w:szCs w:val="24"/>
              </w:rPr>
              <w:t>12/31/2020</w:t>
            </w:r>
          </w:p>
        </w:tc>
      </w:tr>
      <w:tr w:rsidR="00010B38" w:rsidRPr="00010B38" w:rsidTr="00C57D9D">
        <w:trPr>
          <w:trHeight w:val="505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Revenue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10,772,278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10,409,865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9,766,210</w:t>
            </w:r>
          </w:p>
        </w:tc>
      </w:tr>
      <w:tr w:rsidR="00010B38" w:rsidRPr="00010B38" w:rsidTr="00C57D9D">
        <w:trPr>
          <w:trHeight w:val="505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Cost of Revenue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6,423,190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6,085,733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5,616,867</w:t>
            </w:r>
          </w:p>
        </w:tc>
      </w:tr>
      <w:tr w:rsidR="00010B38" w:rsidRPr="00010B38" w:rsidTr="00C57D9D">
        <w:trPr>
          <w:trHeight w:val="520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Gross Profit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4,349,088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4,324,132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4,149,343</w:t>
            </w:r>
          </w:p>
        </w:tc>
      </w:tr>
      <w:tr w:rsidR="00010B38" w:rsidRPr="00010B38" w:rsidTr="00C57D9D">
        <w:trPr>
          <w:gridAfter w:val="3"/>
          <w:trHeight w:val="520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Operating Expenses</w:t>
            </w:r>
          </w:p>
        </w:tc>
      </w:tr>
      <w:tr w:rsidR="00010B38" w:rsidRPr="00010B38" w:rsidTr="00C57D9D">
        <w:trPr>
          <w:trHeight w:val="505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Selling / General Administrative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106,094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103,127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97,324</w:t>
            </w:r>
          </w:p>
        </w:tc>
      </w:tr>
      <w:tr w:rsidR="00010B38" w:rsidRPr="00010B38" w:rsidTr="00C57D9D">
        <w:trPr>
          <w:trHeight w:val="505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 Recurring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10B38" w:rsidRPr="00010B38" w:rsidTr="00C57D9D">
        <w:trPr>
          <w:trHeight w:val="505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Others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2,561,377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2,493,062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2,354,000</w:t>
            </w:r>
          </w:p>
        </w:tc>
      </w:tr>
      <w:tr w:rsidR="00010B38" w:rsidRPr="00010B38" w:rsidTr="00C57D9D">
        <w:trPr>
          <w:trHeight w:val="505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Operating Expenses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9,543,706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9,129,687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8,484,799</w:t>
            </w:r>
          </w:p>
        </w:tc>
      </w:tr>
      <w:tr w:rsidR="00010B38" w:rsidRPr="00010B38" w:rsidTr="00C57D9D">
        <w:trPr>
          <w:trHeight w:val="520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Operating Income or Loss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1,228,572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1,280,178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1,281,411</w:t>
            </w:r>
          </w:p>
        </w:tc>
      </w:tr>
      <w:tr w:rsidR="00010B38" w:rsidRPr="00010B38" w:rsidTr="00C57D9D">
        <w:trPr>
          <w:gridAfter w:val="3"/>
          <w:trHeight w:val="520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Income from Continuing Operations</w:t>
            </w:r>
          </w:p>
        </w:tc>
      </w:tr>
      <w:tr w:rsidR="00010B38" w:rsidRPr="00010B38" w:rsidTr="00C57D9D">
        <w:trPr>
          <w:trHeight w:val="505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Other Income/Expenses Net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-194,047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-145,169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-125,053</w:t>
            </w:r>
          </w:p>
        </w:tc>
      </w:tr>
      <w:tr w:rsidR="00010B38" w:rsidRPr="00010B38" w:rsidTr="00C57D9D">
        <w:trPr>
          <w:trHeight w:val="505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Earnings Before Interest and Taxes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1,228,572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1,280,178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1,281,411</w:t>
            </w:r>
          </w:p>
        </w:tc>
      </w:tr>
      <w:tr w:rsidR="00010B38" w:rsidRPr="00010B38" w:rsidTr="00C57D9D">
        <w:trPr>
          <w:trHeight w:val="505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Interest Expense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-156,487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-145,250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-125,203</w:t>
            </w:r>
          </w:p>
        </w:tc>
      </w:tr>
      <w:tr w:rsidR="00010B38" w:rsidRPr="00010B38" w:rsidTr="00C57D9D">
        <w:trPr>
          <w:trHeight w:val="505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Income Before Tax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1,034,525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1,135,009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1,156,358</w:t>
            </w:r>
          </w:p>
        </w:tc>
      </w:tr>
      <w:tr w:rsidR="00010B38" w:rsidRPr="00010B38" w:rsidTr="00C57D9D">
        <w:trPr>
          <w:trHeight w:val="505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Income Tax Expense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236,642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363,697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409,187</w:t>
            </w:r>
          </w:p>
        </w:tc>
      </w:tr>
      <w:tr w:rsidR="00010B38" w:rsidRPr="00010B38" w:rsidTr="00C57D9D">
        <w:trPr>
          <w:trHeight w:val="520"/>
        </w:trPr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Net Income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779,705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752,303</w:t>
            </w:r>
          </w:p>
        </w:tc>
        <w:tc>
          <w:tcPr>
            <w:tcW w:w="0" w:type="auto"/>
            <w:hideMark/>
          </w:tcPr>
          <w:p w:rsidR="00010B38" w:rsidRPr="00010B38" w:rsidRDefault="00010B38" w:rsidP="00C5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0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702,409</w:t>
            </w:r>
          </w:p>
        </w:tc>
      </w:tr>
    </w:tbl>
    <w:p w:rsidR="00010B38" w:rsidRPr="00010B38" w:rsidRDefault="00010B38" w:rsidP="00010B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0B38" w:rsidRPr="00010B38" w:rsidRDefault="00010B38" w:rsidP="00407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771C" w:rsidRPr="00010B38" w:rsidRDefault="00407748" w:rsidP="008577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10B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7D39" w:rsidRPr="00010B38" w:rsidRDefault="00B97D39" w:rsidP="00B97D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B97D39" w:rsidRPr="00010B38" w:rsidSect="00010B3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644" w:rsidRDefault="001F4644" w:rsidP="007E2752">
      <w:pPr>
        <w:spacing w:after="0" w:line="240" w:lineRule="auto"/>
      </w:pPr>
      <w:r>
        <w:separator/>
      </w:r>
    </w:p>
  </w:endnote>
  <w:endnote w:type="continuationSeparator" w:id="0">
    <w:p w:rsidR="001F4644" w:rsidRDefault="001F4644" w:rsidP="007E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644" w:rsidRDefault="001F4644" w:rsidP="007E2752">
      <w:pPr>
        <w:spacing w:after="0" w:line="240" w:lineRule="auto"/>
      </w:pPr>
      <w:r>
        <w:separator/>
      </w:r>
    </w:p>
  </w:footnote>
  <w:footnote w:type="continuationSeparator" w:id="0">
    <w:p w:rsidR="001F4644" w:rsidRDefault="001F4644" w:rsidP="007E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752" w:rsidRPr="00010B38" w:rsidRDefault="00010B38" w:rsidP="00010B38">
    <w:pPr>
      <w:rPr>
        <w:rFonts w:asciiTheme="majorHAnsi" w:eastAsiaTheme="majorEastAsia" w:hAnsiTheme="majorHAnsi" w:cstheme="majorBidi"/>
        <w:sz w:val="48"/>
        <w:szCs w:val="44"/>
      </w:rPr>
    </w:pPr>
    <w:r w:rsidRPr="00471E72">
      <w:rPr>
        <w:rFonts w:ascii="Times New Roman" w:hAnsi="Times New Roman" w:cs="Times New Roman"/>
        <w:sz w:val="24"/>
        <w:szCs w:val="24"/>
      </w:rPr>
      <w:t>INCOME STATEMENT PAPERS</w:t>
    </w:r>
    <w:r>
      <w:rPr>
        <w:rFonts w:ascii="Times New Roman" w:hAnsi="Times New Roman" w:cs="Times New Roman"/>
        <w:sz w:val="24"/>
        <w:szCs w:val="24"/>
      </w:rPr>
      <w:t xml:space="preserve">       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</w:t>
    </w:r>
    <w:sdt>
      <w:sdtPr>
        <w:rPr>
          <w:rFonts w:asciiTheme="majorHAnsi" w:eastAsiaTheme="majorEastAsia" w:hAnsiTheme="majorHAnsi" w:cstheme="majorBidi"/>
          <w:sz w:val="48"/>
          <w:szCs w:val="48"/>
        </w:rPr>
        <w:id w:val="2077009089"/>
        <w:docPartObj>
          <w:docPartGallery w:val="Page Numbers (Margins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sdt>
          <w:sdtPr>
            <w:rPr>
              <w:rFonts w:ascii="Times New Roman" w:eastAsiaTheme="majorEastAsia" w:hAnsi="Times New Roman" w:cs="Times New Roman"/>
              <w:sz w:val="24"/>
              <w:szCs w:val="24"/>
            </w:rPr>
            <w:id w:val="-559023645"/>
            <w:docPartObj>
              <w:docPartGallery w:val="Page Numbers (Margins)"/>
              <w:docPartUnique/>
            </w:docPartObj>
          </w:sdtPr>
          <w:sdtContent>
            <w:r w:rsidRPr="00471E72">
              <w:rPr>
                <w:rFonts w:ascii="Times New Roman" w:eastAsiaTheme="minorEastAsia" w:hAnsi="Times New Roman" w:cs="Times New Roman"/>
                <w:sz w:val="24"/>
                <w:szCs w:val="24"/>
              </w:rPr>
              <w:fldChar w:fldCharType="begin"/>
            </w:r>
            <w:r w:rsidRPr="00471E72">
              <w:rPr>
                <w:rFonts w:ascii="Times New Roman" w:hAnsi="Times New Roman" w:cs="Times New Roman"/>
                <w:sz w:val="24"/>
                <w:szCs w:val="24"/>
              </w:rPr>
              <w:instrText xml:space="preserve"> PAGE   \* MERGEFORMAT </w:instrText>
            </w:r>
            <w:r w:rsidRPr="00471E72">
              <w:rPr>
                <w:rFonts w:ascii="Times New Roman" w:eastAsiaTheme="minorEastAsia" w:hAnsi="Times New Roman" w:cs="Times New Roman"/>
                <w:sz w:val="24"/>
                <w:szCs w:val="24"/>
              </w:rPr>
              <w:fldChar w:fldCharType="separate"/>
            </w:r>
            <w:r w:rsidRPr="00010B38">
              <w:rPr>
                <w:rFonts w:ascii="Times New Roman" w:eastAsiaTheme="majorEastAsia" w:hAnsi="Times New Roman" w:cs="Times New Roman"/>
                <w:noProof/>
                <w:sz w:val="24"/>
                <w:szCs w:val="24"/>
              </w:rPr>
              <w:t>5</w:t>
            </w:r>
            <w:r w:rsidRPr="00471E72">
              <w:rPr>
                <w:rFonts w:ascii="Times New Roman" w:eastAsiaTheme="majorEastAsia" w:hAnsi="Times New Roman" w:cs="Times New Roman"/>
                <w:noProof/>
                <w:sz w:val="24"/>
                <w:szCs w:val="24"/>
              </w:rPr>
              <w:fldChar w:fldCharType="end"/>
            </w:r>
          </w:sdtContent>
        </w:sdt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B38" w:rsidRPr="00010B38" w:rsidRDefault="00010B38" w:rsidP="00010B38">
    <w:pPr>
      <w:rPr>
        <w:rFonts w:asciiTheme="majorHAnsi" w:eastAsiaTheme="majorEastAsia" w:hAnsiTheme="majorHAnsi" w:cstheme="majorBidi"/>
        <w:sz w:val="48"/>
        <w:szCs w:val="4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471E72">
      <w:rPr>
        <w:rFonts w:ascii="Times New Roman" w:hAnsi="Times New Roman" w:cs="Times New Roman"/>
        <w:sz w:val="24"/>
        <w:szCs w:val="24"/>
      </w:rPr>
      <w:t>INCOME STATEMENT PAPERS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</w:t>
    </w:r>
    <w:sdt>
      <w:sdtPr>
        <w:rPr>
          <w:rFonts w:asciiTheme="majorHAnsi" w:eastAsiaTheme="majorEastAsia" w:hAnsiTheme="majorHAnsi" w:cstheme="majorBidi"/>
          <w:sz w:val="48"/>
          <w:szCs w:val="48"/>
        </w:rPr>
        <w:id w:val="-999964318"/>
        <w:docPartObj>
          <w:docPartGallery w:val="Page Numbers (Margins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sdt>
          <w:sdtPr>
            <w:rPr>
              <w:rFonts w:ascii="Times New Roman" w:eastAsiaTheme="majorEastAsia" w:hAnsi="Times New Roman" w:cs="Times New Roman"/>
              <w:sz w:val="24"/>
              <w:szCs w:val="24"/>
            </w:rPr>
            <w:id w:val="574478829"/>
            <w:docPartObj>
              <w:docPartGallery w:val="Page Numbers (Margins)"/>
              <w:docPartUnique/>
            </w:docPartObj>
          </w:sdtPr>
          <w:sdtContent>
            <w:r w:rsidRPr="00471E72">
              <w:rPr>
                <w:rFonts w:ascii="Times New Roman" w:eastAsiaTheme="minorEastAsia" w:hAnsi="Times New Roman" w:cs="Times New Roman"/>
                <w:sz w:val="24"/>
                <w:szCs w:val="24"/>
              </w:rPr>
              <w:fldChar w:fldCharType="begin"/>
            </w:r>
            <w:r w:rsidRPr="00471E72">
              <w:rPr>
                <w:rFonts w:ascii="Times New Roman" w:hAnsi="Times New Roman" w:cs="Times New Roman"/>
                <w:sz w:val="24"/>
                <w:szCs w:val="24"/>
              </w:rPr>
              <w:instrText xml:space="preserve"> PAGE   \* MERGEFORMAT </w:instrText>
            </w:r>
            <w:r w:rsidRPr="00471E72">
              <w:rPr>
                <w:rFonts w:ascii="Times New Roman" w:eastAsiaTheme="minorEastAsia" w:hAnsi="Times New Roman" w:cs="Times New Roman"/>
                <w:sz w:val="24"/>
                <w:szCs w:val="24"/>
              </w:rPr>
              <w:fldChar w:fldCharType="separate"/>
            </w:r>
            <w:r w:rsidRPr="00010B38">
              <w:rPr>
                <w:rFonts w:ascii="Times New Roman" w:eastAsiaTheme="majorEastAsia" w:hAnsi="Times New Roman" w:cs="Times New Roman"/>
                <w:noProof/>
                <w:sz w:val="24"/>
                <w:szCs w:val="24"/>
              </w:rPr>
              <w:t>1</w:t>
            </w:r>
            <w:r w:rsidRPr="00471E72">
              <w:rPr>
                <w:rFonts w:ascii="Times New Roman" w:eastAsiaTheme="majorEastAsia" w:hAnsi="Times New Roman" w:cs="Times New Roman"/>
                <w:noProof/>
                <w:sz w:val="24"/>
                <w:szCs w:val="24"/>
              </w:rPr>
              <w:fldChar w:fldCharType="end"/>
            </w:r>
          </w:sdtContent>
        </w:sdt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yMTA1MTcxMLcwMLJU0lEKTi0uzszPAykwrAUAgKA2bSwAAAA="/>
  </w:docVars>
  <w:rsids>
    <w:rsidRoot w:val="007E2752"/>
    <w:rsid w:val="00010B38"/>
    <w:rsid w:val="001F4644"/>
    <w:rsid w:val="0037119A"/>
    <w:rsid w:val="003A7D2E"/>
    <w:rsid w:val="003E6B01"/>
    <w:rsid w:val="00407748"/>
    <w:rsid w:val="00421D9C"/>
    <w:rsid w:val="00471E72"/>
    <w:rsid w:val="005C26A5"/>
    <w:rsid w:val="00705BDD"/>
    <w:rsid w:val="007E2752"/>
    <w:rsid w:val="0085771C"/>
    <w:rsid w:val="00877107"/>
    <w:rsid w:val="009321AF"/>
    <w:rsid w:val="00AB1B14"/>
    <w:rsid w:val="00AC6DE8"/>
    <w:rsid w:val="00B97D39"/>
    <w:rsid w:val="00C0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DC8865"/>
  <w15:docId w15:val="{D4B1BE87-0295-40E0-A5D2-0D52F041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75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nt0">
    <w:name w:val="fnt0"/>
    <w:basedOn w:val="DefaultParagraphFont"/>
    <w:rsid w:val="007E2752"/>
    <w:rPr>
      <w:color w:val="000000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7E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752"/>
  </w:style>
  <w:style w:type="paragraph" w:styleId="Footer">
    <w:name w:val="footer"/>
    <w:basedOn w:val="Normal"/>
    <w:link w:val="FooterChar"/>
    <w:uiPriority w:val="99"/>
    <w:unhideWhenUsed/>
    <w:rsid w:val="007E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752"/>
  </w:style>
  <w:style w:type="table" w:styleId="TableGrid">
    <w:name w:val="Table Grid"/>
    <w:basedOn w:val="TableNormal"/>
    <w:uiPriority w:val="39"/>
    <w:rsid w:val="003A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Windows User</cp:lastModifiedBy>
  <cp:revision>2</cp:revision>
  <dcterms:created xsi:type="dcterms:W3CDTF">2019-06-08T18:50:00Z</dcterms:created>
  <dcterms:modified xsi:type="dcterms:W3CDTF">2019-06-08T18:50:00Z</dcterms:modified>
</cp:coreProperties>
</file>